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Подготовка населения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Подготовка населения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Структура единой системы подготовки населения в области гражданской обороны и защиты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Основные задачи подготовки населения в области гражданской обороны и защиты от чрезвычайных ситуаций природного и техногенного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- изучение способов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порядка действий по сигналам оповещения, приемов оказания первой помощи, правил пользования коллективными и индивидуальными средствами защиты, освоение практического применения полученных знаний; - совершенствование навыков по организации и проведению мероприятий по гражданской обороне; - выработка умений и навыков для проведения аварийно-спасательных и других неотложных работ; - овладение личным составом нештатных аварийно-спасательных формирований, нештатных формирований по обеспечению выполнения мероприятий по гражданской обороне и спасательных служб приемами и способами действий по защите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 - обучение населения правилам поведения, основным способам защиты и действиям в чрезвычайных ситуациях, приемам оказания первой  помощи пострадавшим, правилам пользования средствами индивидуальной и коллективной защиты; - выработка у руководителей органов государственной власти, органов местного самоуправления и организаций навыков управления силами и средствами, входящими в состав единой государственной системы предупреждения и ликвидации чрезвычайных ситуаций; - совершенствование практических навыков руководителей органов государственной власти, органов местного самоуправления и организаций, а также председателей комиссий по чрезвычайным ситуациям в организации и проведении мероприятий по предупреждению чрезвычайных ситуаций и ликвидации их последствий; - практическое усвоение уполномоченными работниками в ходе учений и тренировок порядка действий при различных режимах функционирования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 Группы населения подлежащих обязательному обучению ГО и РСЧС: • руководители и председатели КЧС и ПБ органов исполнительной власти, органов местного самоуправления и организаций;</w:t>
            </w:r>
            <w:br/>
            <w:r>
              <w:rPr/>
              <w:t xml:space="preserve"> </w:t>
            </w:r>
            <w:br/>
            <w:r>
              <w:rPr/>
              <w:t xml:space="preserve"> • работники, специально уполномоченные решать задачи ГО и ЧС;</w:t>
            </w:r>
            <w:br/>
            <w:r>
              <w:rPr/>
              <w:t xml:space="preserve"> </w:t>
            </w:r>
            <w:br/>
            <w:r>
              <w:rPr/>
              <w:t xml:space="preserve"> • личный состав формирований и служб;</w:t>
            </w:r>
            <w:br/>
            <w:r>
              <w:rPr/>
              <w:t xml:space="preserve"> </w:t>
            </w:r>
            <w:br/>
            <w:r>
              <w:rPr/>
              <w:t xml:space="preserve"> • работающее и обучающееся население;</w:t>
            </w:r>
            <w:br/>
            <w:r>
              <w:rPr/>
              <w:t xml:space="preserve"> </w:t>
            </w:r>
            <w:br/>
            <w:r>
              <w:rPr/>
              <w:t xml:space="preserve"> • неработающее население.</w:t>
            </w:r>
            <w:br/>
            <w:r>
              <w:rPr/>
              <w:t xml:space="preserve"> </w:t>
            </w:r>
            <w:br/>
            <w:r>
              <w:rPr/>
              <w:t xml:space="preserve"> Подготовка в области защиты от чрезвычайных ситуаций предусматривает: • для председателей комиссий по чрезвычайным ситуациям, руководителей органов местного самоуправления и организаций, уполномоченных работников — повышение квалификации не реже одного раза в 5 лет, проведение самостоятельной работы, а также участие в сборах, учениях и тренировках.</w:t>
            </w:r>
            <w:br/>
            <w:r>
              <w:rPr/>
              <w:t xml:space="preserve"> </w:t>
            </w:r>
            <w:br/>
            <w:r>
              <w:rPr/>
              <w:t xml:space="preserve"> • для лиц, впервые назначенных на должность, связанную с выполнением обязанностей в области защиты от чрезвычайных ситуаций, переподготовка или повышение квалификации в течение первого года работы является обязательной.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Актуальная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Методические рекомендации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Перечень мероприятий, включенных в региональные целевые программы и планы по направлению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Оценка деятельности территориального органа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74ED50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oborona/podgotovka-naseleniya/normativno-pravovye-akty" TargetMode="External"/><Relationship Id="rId8" Type="http://schemas.openxmlformats.org/officeDocument/2006/relationships/hyperlink" Target="/deyatelnost/grazhdanskaya-oborona/podgotovka-naseleniya/aktualnaya-informaciya" TargetMode="External"/><Relationship Id="rId9" Type="http://schemas.openxmlformats.org/officeDocument/2006/relationships/hyperlink" Target="/deyatelnost/grazhdanskaya-oborona/podgotovka-naseleniya/metodicheskie-rekomendacii" TargetMode="External"/><Relationship Id="rId10" Type="http://schemas.openxmlformats.org/officeDocument/2006/relationships/hyperlink" Target="/deyatelnost/grazhdanskaya-oborona/podgotovka-naseleniya/perechen-meropriyatiy-vklyuchennyh-v-regionalnye-celevye-programmy-i-plany-po-napravleniyu-deyatelnosti" TargetMode="External"/><Relationship Id="rId11" Type="http://schemas.openxmlformats.org/officeDocument/2006/relationships/hyperlink" Target="/deyatelnost/grazhdanskaya-oborona/podgotovka-naseleniya/ocenka-deyatelnosti-territorialnogo-organa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2021-05-08T01:51:09+05:00</dcterms:created>
  <dcterms:modified xsi:type="dcterms:W3CDTF">2021-05-08T01:51:09+05:00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